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ACABA" w14:textId="77777777" w:rsidR="006923A8" w:rsidRDefault="006923A8" w:rsidP="00A1329E">
      <w:pPr>
        <w:spacing w:before="60"/>
        <w:jc w:val="center"/>
        <w:rPr>
          <w:rFonts w:cs="Arial"/>
          <w:b/>
        </w:rPr>
      </w:pPr>
    </w:p>
    <w:p w14:paraId="19E01604" w14:textId="77777777" w:rsidR="006923A8" w:rsidRDefault="006923A8" w:rsidP="00A1329E">
      <w:pPr>
        <w:spacing w:before="60"/>
        <w:jc w:val="center"/>
        <w:rPr>
          <w:rFonts w:cs="Arial"/>
          <w:b/>
        </w:rPr>
      </w:pPr>
    </w:p>
    <w:p w14:paraId="44B96621" w14:textId="77777777" w:rsidR="00A1329E" w:rsidRDefault="00E21B3D" w:rsidP="00A1329E">
      <w:pPr>
        <w:spacing w:before="60"/>
        <w:jc w:val="center"/>
        <w:rPr>
          <w:rFonts w:cs="Arial"/>
          <w:b/>
        </w:rPr>
      </w:pPr>
      <w:r w:rsidRPr="00E42D7D">
        <w:rPr>
          <w:rFonts w:cs="Arial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2F263158" wp14:editId="673FB9A9">
            <wp:extent cx="990600" cy="939800"/>
            <wp:effectExtent l="0" t="0" r="0" b="0"/>
            <wp:docPr id="1" name="Obraz 1" descr="Pollab.logo.small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llab.logo.small.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FCF31" w14:textId="5F44DF46" w:rsidR="00001EC6" w:rsidRDefault="006B11F6" w:rsidP="0021500B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Wymagania normy</w:t>
      </w:r>
      <w:r w:rsidR="002C0977">
        <w:rPr>
          <w:b/>
          <w:color w:val="FF0000"/>
          <w:sz w:val="28"/>
        </w:rPr>
        <w:t xml:space="preserve"> </w:t>
      </w:r>
      <w:r w:rsidR="002C0977" w:rsidRPr="002C0977">
        <w:rPr>
          <w:b/>
          <w:color w:val="FF0000"/>
          <w:sz w:val="28"/>
        </w:rPr>
        <w:t>PN-EN ISO/IEC 17043:2023-10</w:t>
      </w:r>
      <w:r w:rsidR="002C0977" w:rsidRPr="002C0977">
        <w:rPr>
          <w:b/>
          <w:color w:val="FF0000"/>
          <w:sz w:val="28"/>
        </w:rPr>
        <w:br/>
      </w:r>
      <w:r w:rsidR="002C0977" w:rsidRPr="00E7764D">
        <w:rPr>
          <w:b/>
          <w:i/>
          <w:iCs/>
          <w:color w:val="FF0000"/>
          <w:sz w:val="28"/>
        </w:rPr>
        <w:t>Ocena zgodności - Ogólne wymagania dotyczące kompetencji organizatorów badania biegłości</w:t>
      </w:r>
    </w:p>
    <w:p w14:paraId="030C3E0E" w14:textId="5FBBE040" w:rsidR="00B72637" w:rsidRPr="0021500B" w:rsidRDefault="009A0CF5" w:rsidP="0021500B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Webinarium</w:t>
      </w:r>
    </w:p>
    <w:p w14:paraId="57875603" w14:textId="77777777" w:rsidR="003769EF" w:rsidRDefault="003769EF" w:rsidP="00E21B3D">
      <w:pPr>
        <w:spacing w:line="360" w:lineRule="auto"/>
        <w:rPr>
          <w:b/>
        </w:rPr>
      </w:pPr>
    </w:p>
    <w:p w14:paraId="07B55BDB" w14:textId="06993102" w:rsidR="00A669E0" w:rsidRDefault="00A669E0" w:rsidP="00E21B3D">
      <w:pPr>
        <w:spacing w:line="360" w:lineRule="auto"/>
      </w:pPr>
      <w:r w:rsidRPr="00192485">
        <w:rPr>
          <w:b/>
        </w:rPr>
        <w:t>Cel szkolenia</w:t>
      </w:r>
      <w:r>
        <w:t xml:space="preserve"> – </w:t>
      </w:r>
      <w:r w:rsidRPr="00E21B3D">
        <w:rPr>
          <w:color w:val="4F81BD" w:themeColor="accent1"/>
        </w:rPr>
        <w:t>Prz</w:t>
      </w:r>
      <w:r w:rsidR="002C0977">
        <w:rPr>
          <w:color w:val="4F81BD" w:themeColor="accent1"/>
        </w:rPr>
        <w:t xml:space="preserve">ekazanie informacji </w:t>
      </w:r>
      <w:r w:rsidRPr="00E21B3D">
        <w:rPr>
          <w:color w:val="4F81BD" w:themeColor="accent1"/>
        </w:rPr>
        <w:t>uczestnik</w:t>
      </w:r>
      <w:r w:rsidR="002C0977">
        <w:rPr>
          <w:color w:val="4F81BD" w:themeColor="accent1"/>
        </w:rPr>
        <w:t>om o zmianach wynikających z nowelizacji</w:t>
      </w:r>
      <w:r w:rsidR="006B11F6">
        <w:rPr>
          <w:color w:val="4F81BD" w:themeColor="accent1"/>
        </w:rPr>
        <w:t xml:space="preserve"> normy</w:t>
      </w:r>
      <w:r w:rsidR="002C0977">
        <w:rPr>
          <w:color w:val="4F81BD" w:themeColor="accent1"/>
        </w:rPr>
        <w:t xml:space="preserve">, które mogą wpływać na </w:t>
      </w:r>
      <w:r w:rsidRPr="00E21B3D">
        <w:rPr>
          <w:color w:val="4F81BD" w:themeColor="accent1"/>
        </w:rPr>
        <w:t>dokumentowani</w:t>
      </w:r>
      <w:r w:rsidR="002C0977">
        <w:rPr>
          <w:color w:val="4F81BD" w:themeColor="accent1"/>
        </w:rPr>
        <w:t>e</w:t>
      </w:r>
      <w:r w:rsidRPr="00E21B3D">
        <w:rPr>
          <w:color w:val="4F81BD" w:themeColor="accent1"/>
        </w:rPr>
        <w:t xml:space="preserve"> </w:t>
      </w:r>
      <w:r w:rsidR="003F4F4D" w:rsidRPr="00E21B3D">
        <w:rPr>
          <w:color w:val="4F81BD" w:themeColor="accent1"/>
        </w:rPr>
        <w:t xml:space="preserve">systemu zarządzania </w:t>
      </w:r>
      <w:r w:rsidR="0089300E">
        <w:rPr>
          <w:color w:val="4F81BD" w:themeColor="accent1"/>
        </w:rPr>
        <w:t xml:space="preserve">oraz funkcjonowania </w:t>
      </w:r>
      <w:r w:rsidR="002C0977">
        <w:rPr>
          <w:color w:val="4F81BD" w:themeColor="accent1"/>
        </w:rPr>
        <w:t>organizatorów badań biegłości</w:t>
      </w:r>
      <w:r w:rsidRPr="00E21B3D">
        <w:rPr>
          <w:color w:val="4F81BD" w:themeColor="accent1"/>
        </w:rPr>
        <w:t>.</w:t>
      </w:r>
    </w:p>
    <w:p w14:paraId="53919FF3" w14:textId="38B6DF7C" w:rsidR="00A669E0" w:rsidRPr="00E21B3D" w:rsidRDefault="00A669E0" w:rsidP="00E21B3D">
      <w:pPr>
        <w:spacing w:before="120" w:line="360" w:lineRule="auto"/>
        <w:rPr>
          <w:color w:val="4F81BD" w:themeColor="accent1"/>
        </w:rPr>
      </w:pPr>
      <w:r w:rsidRPr="00192485">
        <w:rPr>
          <w:b/>
        </w:rPr>
        <w:t>Zagadnienia omawiane na szkoleniu</w:t>
      </w:r>
      <w:r>
        <w:t xml:space="preserve"> – </w:t>
      </w:r>
      <w:r w:rsidRPr="00E21B3D">
        <w:rPr>
          <w:color w:val="4F81BD" w:themeColor="accent1"/>
        </w:rPr>
        <w:t>Zasadnicze zmiany w normie 170</w:t>
      </w:r>
      <w:r w:rsidR="002C0977">
        <w:rPr>
          <w:color w:val="4F81BD" w:themeColor="accent1"/>
        </w:rPr>
        <w:t>43</w:t>
      </w:r>
      <w:r w:rsidRPr="00E21B3D">
        <w:rPr>
          <w:color w:val="4F81BD" w:themeColor="accent1"/>
        </w:rPr>
        <w:t xml:space="preserve">. Porównanie elementów wymagających zmiany </w:t>
      </w:r>
      <w:r w:rsidR="003F4F4D" w:rsidRPr="00E21B3D">
        <w:rPr>
          <w:color w:val="4F81BD" w:themeColor="accent1"/>
        </w:rPr>
        <w:t xml:space="preserve">w dokumentacji systemu zarządzania </w:t>
      </w:r>
      <w:r w:rsidRPr="00E21B3D">
        <w:rPr>
          <w:color w:val="4F81BD" w:themeColor="accent1"/>
        </w:rPr>
        <w:t xml:space="preserve">w odniesieniu do normy </w:t>
      </w:r>
      <w:r w:rsidR="002C0977" w:rsidRPr="002C0977">
        <w:rPr>
          <w:color w:val="4F81BD" w:themeColor="accent1"/>
        </w:rPr>
        <w:t>PN-EN ISO/IEC 17043</w:t>
      </w:r>
      <w:r w:rsidR="002C0977">
        <w:rPr>
          <w:color w:val="4F81BD" w:themeColor="accent1"/>
        </w:rPr>
        <w:t>:2011</w:t>
      </w:r>
      <w:r w:rsidRPr="00E21B3D">
        <w:rPr>
          <w:color w:val="4F81BD" w:themeColor="accent1"/>
        </w:rPr>
        <w:t xml:space="preserve">. </w:t>
      </w:r>
      <w:r w:rsidR="003F4F4D" w:rsidRPr="00E21B3D">
        <w:rPr>
          <w:color w:val="4F81BD" w:themeColor="accent1"/>
        </w:rPr>
        <w:t xml:space="preserve">Nowy układ normy i jego wpływ na dokumentację </w:t>
      </w:r>
      <w:r w:rsidR="002C0977">
        <w:rPr>
          <w:color w:val="4F81BD" w:themeColor="accent1"/>
        </w:rPr>
        <w:t>organizatora badań biegłości</w:t>
      </w:r>
      <w:r w:rsidR="003F4F4D" w:rsidRPr="00E21B3D">
        <w:rPr>
          <w:color w:val="4F81BD" w:themeColor="accent1"/>
        </w:rPr>
        <w:t xml:space="preserve">. </w:t>
      </w:r>
      <w:r w:rsidR="002C0977">
        <w:rPr>
          <w:color w:val="4F81BD" w:themeColor="accent1"/>
        </w:rPr>
        <w:t>Możliwość t</w:t>
      </w:r>
      <w:r w:rsidR="003F4F4D" w:rsidRPr="00E21B3D">
        <w:rPr>
          <w:color w:val="4F81BD" w:themeColor="accent1"/>
        </w:rPr>
        <w:t>worzeni</w:t>
      </w:r>
      <w:r w:rsidR="002C0977">
        <w:rPr>
          <w:color w:val="4F81BD" w:themeColor="accent1"/>
        </w:rPr>
        <w:t>a</w:t>
      </w:r>
      <w:r w:rsidR="003F4F4D" w:rsidRPr="00E21B3D">
        <w:rPr>
          <w:color w:val="4F81BD" w:themeColor="accent1"/>
        </w:rPr>
        <w:t xml:space="preserve"> dokumentacji wyłącznie dla </w:t>
      </w:r>
      <w:r w:rsidR="002C0977">
        <w:rPr>
          <w:color w:val="4F81BD" w:themeColor="accent1"/>
        </w:rPr>
        <w:t>organizatora</w:t>
      </w:r>
      <w:r w:rsidR="003F4F4D" w:rsidRPr="00E21B3D">
        <w:rPr>
          <w:color w:val="4F81BD" w:themeColor="accent1"/>
        </w:rPr>
        <w:t xml:space="preserve"> (tylko wg 170</w:t>
      </w:r>
      <w:r w:rsidR="002C0977">
        <w:rPr>
          <w:color w:val="4F81BD" w:themeColor="accent1"/>
        </w:rPr>
        <w:t>43</w:t>
      </w:r>
      <w:r w:rsidR="003F4F4D" w:rsidRPr="00E21B3D">
        <w:rPr>
          <w:color w:val="4F81BD" w:themeColor="accent1"/>
        </w:rPr>
        <w:t>), albo w</w:t>
      </w:r>
      <w:r w:rsidR="003769EF">
        <w:rPr>
          <w:color w:val="4F81BD" w:themeColor="accent1"/>
        </w:rPr>
        <w:t> </w:t>
      </w:r>
      <w:r w:rsidR="003F4F4D" w:rsidRPr="00E21B3D">
        <w:rPr>
          <w:color w:val="4F81BD" w:themeColor="accent1"/>
        </w:rPr>
        <w:t>powiązaniu z systemem z</w:t>
      </w:r>
      <w:r w:rsidR="009F1833">
        <w:rPr>
          <w:color w:val="4F81BD" w:themeColor="accent1"/>
        </w:rPr>
        <w:t>integrowanym bazującym</w:t>
      </w:r>
      <w:r w:rsidR="003F4F4D" w:rsidRPr="00E21B3D">
        <w:rPr>
          <w:color w:val="4F81BD" w:themeColor="accent1"/>
        </w:rPr>
        <w:t xml:space="preserve"> na normie ISO 9001.</w:t>
      </w:r>
      <w:r w:rsidR="00B2084C">
        <w:rPr>
          <w:color w:val="4F81BD" w:themeColor="accent1"/>
        </w:rPr>
        <w:t xml:space="preserve"> </w:t>
      </w:r>
    </w:p>
    <w:p w14:paraId="14B21160" w14:textId="130A7FA8" w:rsidR="003F4F4D" w:rsidRDefault="009F1833" w:rsidP="00E21B3D">
      <w:pPr>
        <w:spacing w:line="360" w:lineRule="auto"/>
        <w:rPr>
          <w:color w:val="4F81BD" w:themeColor="accent1"/>
        </w:rPr>
      </w:pPr>
      <w:r>
        <w:rPr>
          <w:color w:val="4F81BD" w:themeColor="accent1"/>
        </w:rPr>
        <w:t>Omówienie możliwości sposobu dokumentowania</w:t>
      </w:r>
      <w:r w:rsidR="009810C3" w:rsidRPr="00E21B3D">
        <w:rPr>
          <w:color w:val="4F81BD" w:themeColor="accent1"/>
        </w:rPr>
        <w:t xml:space="preserve"> </w:t>
      </w:r>
      <w:r w:rsidR="003F4F4D" w:rsidRPr="00E21B3D">
        <w:rPr>
          <w:color w:val="4F81BD" w:themeColor="accent1"/>
        </w:rPr>
        <w:t>nowych elementów zawartych w</w:t>
      </w:r>
      <w:r w:rsidR="00B2084C">
        <w:rPr>
          <w:color w:val="4F81BD" w:themeColor="accent1"/>
        </w:rPr>
        <w:t xml:space="preserve"> </w:t>
      </w:r>
      <w:r w:rsidRPr="009F1833">
        <w:rPr>
          <w:color w:val="4F81BD" w:themeColor="accent1"/>
        </w:rPr>
        <w:t>PN-EN ISO/IEC 17043:2023-10</w:t>
      </w:r>
      <w:r w:rsidR="003F4F4D" w:rsidRPr="00E21B3D">
        <w:rPr>
          <w:color w:val="4F81BD" w:themeColor="accent1"/>
        </w:rPr>
        <w:t>.</w:t>
      </w:r>
    </w:p>
    <w:p w14:paraId="5A3E682F" w14:textId="12B1CD0E" w:rsidR="009A0CF5" w:rsidRPr="00E21B3D" w:rsidRDefault="009A0CF5" w:rsidP="00E21B3D">
      <w:pPr>
        <w:spacing w:line="360" w:lineRule="auto"/>
        <w:rPr>
          <w:color w:val="4F81BD" w:themeColor="accent1"/>
        </w:rPr>
      </w:pPr>
      <w:r>
        <w:rPr>
          <w:color w:val="4F81BD" w:themeColor="accent1"/>
        </w:rPr>
        <w:t xml:space="preserve">Wpływ nowelizacji normy 17043 na organizację </w:t>
      </w:r>
      <w:r w:rsidR="002C3A0D">
        <w:rPr>
          <w:color w:val="4F81BD" w:themeColor="accent1"/>
        </w:rPr>
        <w:t>„małych porównań międzylaboratoryjnych”.</w:t>
      </w:r>
    </w:p>
    <w:p w14:paraId="0E514DD8" w14:textId="31EE066B" w:rsidR="00A669E0" w:rsidRDefault="00A669E0" w:rsidP="00E21B3D">
      <w:pPr>
        <w:spacing w:before="120" w:line="360" w:lineRule="auto"/>
        <w:rPr>
          <w:color w:val="4F81BD" w:themeColor="accent1"/>
        </w:rPr>
      </w:pPr>
      <w:r w:rsidRPr="00192485">
        <w:rPr>
          <w:b/>
        </w:rPr>
        <w:t>Do kogo jest adresowane szkolenie</w:t>
      </w:r>
      <w:r>
        <w:t xml:space="preserve"> –</w:t>
      </w:r>
      <w:r w:rsidRPr="00E21B3D">
        <w:rPr>
          <w:color w:val="4F81BD" w:themeColor="accent1"/>
        </w:rPr>
        <w:t xml:space="preserve"> do osób </w:t>
      </w:r>
      <w:r w:rsidR="002C3A0D">
        <w:rPr>
          <w:color w:val="4F81BD" w:themeColor="accent1"/>
        </w:rPr>
        <w:t>zajmujących się organizacją badań biegłości</w:t>
      </w:r>
      <w:r w:rsidR="00F9350F">
        <w:rPr>
          <w:color w:val="4F81BD" w:themeColor="accent1"/>
        </w:rPr>
        <w:t>, a</w:t>
      </w:r>
      <w:r w:rsidR="003769EF">
        <w:rPr>
          <w:color w:val="4F81BD" w:themeColor="accent1"/>
        </w:rPr>
        <w:t> </w:t>
      </w:r>
      <w:r w:rsidR="00F9350F">
        <w:rPr>
          <w:color w:val="4F81BD" w:themeColor="accent1"/>
        </w:rPr>
        <w:t>w</w:t>
      </w:r>
      <w:r w:rsidR="003769EF">
        <w:rPr>
          <w:color w:val="4F81BD" w:themeColor="accent1"/>
        </w:rPr>
        <w:t> </w:t>
      </w:r>
      <w:r w:rsidR="00F9350F">
        <w:rPr>
          <w:color w:val="4F81BD" w:themeColor="accent1"/>
        </w:rPr>
        <w:t xml:space="preserve">szczególności </w:t>
      </w:r>
      <w:r w:rsidR="00F9350F" w:rsidRPr="00F9350F">
        <w:rPr>
          <w:color w:val="4F81BD" w:themeColor="accent1"/>
        </w:rPr>
        <w:t xml:space="preserve">do osób pracujących w </w:t>
      </w:r>
      <w:r w:rsidR="002C3A0D">
        <w:rPr>
          <w:color w:val="4F81BD" w:themeColor="accent1"/>
        </w:rPr>
        <w:t>organizacjach</w:t>
      </w:r>
      <w:r w:rsidR="003F4F4D" w:rsidRPr="00E21B3D">
        <w:rPr>
          <w:color w:val="4F81BD" w:themeColor="accent1"/>
        </w:rPr>
        <w:t xml:space="preserve"> posiadających akredytację.</w:t>
      </w:r>
      <w:r w:rsidR="009810C3" w:rsidRPr="00E21B3D">
        <w:rPr>
          <w:color w:val="4F81BD" w:themeColor="accent1"/>
        </w:rPr>
        <w:t xml:space="preserve"> W szkoleniu mogą także wziąć udział osoby, któr</w:t>
      </w:r>
      <w:r w:rsidR="002C3A0D">
        <w:rPr>
          <w:color w:val="4F81BD" w:themeColor="accent1"/>
        </w:rPr>
        <w:t>ych organizacje</w:t>
      </w:r>
      <w:r w:rsidR="009810C3" w:rsidRPr="00E21B3D">
        <w:rPr>
          <w:color w:val="4F81BD" w:themeColor="accent1"/>
        </w:rPr>
        <w:t xml:space="preserve"> p</w:t>
      </w:r>
      <w:r w:rsidR="00F9350F">
        <w:rPr>
          <w:color w:val="4F81BD" w:themeColor="accent1"/>
        </w:rPr>
        <w:t>rzygotowują się do akredytacji i</w:t>
      </w:r>
      <w:r w:rsidR="009810C3" w:rsidRPr="00E21B3D">
        <w:rPr>
          <w:color w:val="4F81BD" w:themeColor="accent1"/>
        </w:rPr>
        <w:t xml:space="preserve"> </w:t>
      </w:r>
      <w:r w:rsidR="002C3A0D">
        <w:rPr>
          <w:color w:val="4F81BD" w:themeColor="accent1"/>
        </w:rPr>
        <w:t>zamierzają</w:t>
      </w:r>
      <w:r w:rsidR="00BE4F58">
        <w:rPr>
          <w:color w:val="4F81BD" w:themeColor="accent1"/>
        </w:rPr>
        <w:t xml:space="preserve"> uzyskać akredytację w</w:t>
      </w:r>
      <w:r w:rsidR="00F9350F">
        <w:rPr>
          <w:color w:val="4F81BD" w:themeColor="accent1"/>
        </w:rPr>
        <w:t xml:space="preserve"> </w:t>
      </w:r>
      <w:r w:rsidR="009810C3" w:rsidRPr="00E21B3D">
        <w:rPr>
          <w:color w:val="4F81BD" w:themeColor="accent1"/>
        </w:rPr>
        <w:t>odniesieniu do znowelizowanej normy</w:t>
      </w:r>
      <w:r w:rsidR="00B2084C">
        <w:rPr>
          <w:color w:val="4F81BD" w:themeColor="accent1"/>
        </w:rPr>
        <w:t xml:space="preserve"> PN-EN</w:t>
      </w:r>
      <w:r w:rsidR="00F9350F">
        <w:rPr>
          <w:color w:val="4F81BD" w:themeColor="accent1"/>
        </w:rPr>
        <w:t xml:space="preserve"> </w:t>
      </w:r>
      <w:r w:rsidR="00F9350F" w:rsidRPr="00F9350F">
        <w:rPr>
          <w:color w:val="4F81BD" w:themeColor="accent1"/>
        </w:rPr>
        <w:t>ISO/IEC 170</w:t>
      </w:r>
      <w:r w:rsidR="002C3A0D">
        <w:rPr>
          <w:color w:val="4F81BD" w:themeColor="accent1"/>
        </w:rPr>
        <w:t>43</w:t>
      </w:r>
      <w:r w:rsidR="00F9350F" w:rsidRPr="00F9350F">
        <w:rPr>
          <w:color w:val="4F81BD" w:themeColor="accent1"/>
        </w:rPr>
        <w:t>:20</w:t>
      </w:r>
      <w:r w:rsidR="002C3A0D">
        <w:rPr>
          <w:color w:val="4F81BD" w:themeColor="accent1"/>
        </w:rPr>
        <w:t>23</w:t>
      </w:r>
      <w:r w:rsidR="00484347">
        <w:rPr>
          <w:color w:val="4F81BD" w:themeColor="accent1"/>
        </w:rPr>
        <w:t>-</w:t>
      </w:r>
      <w:r w:rsidR="002C3A0D">
        <w:rPr>
          <w:color w:val="4F81BD" w:themeColor="accent1"/>
        </w:rPr>
        <w:t>1</w:t>
      </w:r>
      <w:r w:rsidR="00484347">
        <w:rPr>
          <w:color w:val="4F81BD" w:themeColor="accent1"/>
        </w:rPr>
        <w:t>0</w:t>
      </w:r>
      <w:r w:rsidR="009810C3" w:rsidRPr="00E21B3D">
        <w:rPr>
          <w:color w:val="4F81BD" w:themeColor="accent1"/>
        </w:rPr>
        <w:t>.</w:t>
      </w:r>
    </w:p>
    <w:p w14:paraId="7B6B57BD" w14:textId="0FCC97BC" w:rsidR="002C3A0D" w:rsidRPr="002C3A0D" w:rsidRDefault="002C3A0D" w:rsidP="002C3A0D">
      <w:pPr>
        <w:spacing w:line="360" w:lineRule="auto"/>
        <w:rPr>
          <w:color w:val="4F81BD" w:themeColor="accent1"/>
        </w:rPr>
      </w:pPr>
      <w:r>
        <w:rPr>
          <w:color w:val="4F81BD" w:themeColor="accent1"/>
        </w:rPr>
        <w:t xml:space="preserve">Szkolenie może być także przydatne dla laboratoriów mających akredytację </w:t>
      </w:r>
      <w:r w:rsidRPr="002C3A0D">
        <w:rPr>
          <w:color w:val="4F81BD" w:themeColor="accent1"/>
        </w:rPr>
        <w:t>w odniesieniu do normy PN-EN ISO/IEC 170</w:t>
      </w:r>
      <w:r>
        <w:rPr>
          <w:color w:val="4F81BD" w:themeColor="accent1"/>
        </w:rPr>
        <w:t>25</w:t>
      </w:r>
      <w:r w:rsidRPr="002C3A0D">
        <w:rPr>
          <w:color w:val="4F81BD" w:themeColor="accent1"/>
        </w:rPr>
        <w:t>:20</w:t>
      </w:r>
      <w:r>
        <w:rPr>
          <w:color w:val="4F81BD" w:themeColor="accent1"/>
        </w:rPr>
        <w:t xml:space="preserve">18-10, które są organizatorami </w:t>
      </w:r>
      <w:r w:rsidR="006B11F6">
        <w:rPr>
          <w:color w:val="4F81BD" w:themeColor="accent1"/>
        </w:rPr>
        <w:t xml:space="preserve">małych </w:t>
      </w:r>
      <w:r>
        <w:rPr>
          <w:color w:val="4F81BD" w:themeColor="accent1"/>
        </w:rPr>
        <w:t>porównań międzylaboratoryjnych (gdzie liczba uczestników nie przekracza 7)</w:t>
      </w:r>
      <w:r w:rsidR="004A6CC7">
        <w:rPr>
          <w:color w:val="4F81BD" w:themeColor="accent1"/>
        </w:rPr>
        <w:t>.</w:t>
      </w:r>
    </w:p>
    <w:p w14:paraId="60241343" w14:textId="36E5B2FB" w:rsidR="00E21B3D" w:rsidRPr="00A27352" w:rsidRDefault="00E21B3D" w:rsidP="00E21B3D">
      <w:pPr>
        <w:spacing w:before="120" w:after="120"/>
        <w:rPr>
          <w:rFonts w:cs="Arial"/>
          <w:color w:val="548DD4"/>
        </w:rPr>
      </w:pPr>
      <w:r w:rsidRPr="00A27352">
        <w:rPr>
          <w:rFonts w:cs="Arial"/>
          <w:b/>
        </w:rPr>
        <w:t xml:space="preserve">Forma szkolenia – </w:t>
      </w:r>
      <w:r w:rsidRPr="00A27352">
        <w:rPr>
          <w:rFonts w:cs="Arial"/>
          <w:b/>
          <w:color w:val="548DD4"/>
        </w:rPr>
        <w:t>Wykład, dyskusja</w:t>
      </w:r>
    </w:p>
    <w:p w14:paraId="6303C93B" w14:textId="77777777" w:rsidR="00E21B3D" w:rsidRPr="00A27352" w:rsidRDefault="00E21B3D" w:rsidP="00E21B3D">
      <w:pPr>
        <w:spacing w:before="120" w:after="120"/>
        <w:rPr>
          <w:rFonts w:cs="Arial"/>
          <w:b/>
        </w:rPr>
      </w:pPr>
      <w:r w:rsidRPr="00A27352">
        <w:rPr>
          <w:rFonts w:cs="Arial"/>
          <w:b/>
        </w:rPr>
        <w:t xml:space="preserve">Wykładowca – </w:t>
      </w:r>
      <w:r w:rsidRPr="00A27352">
        <w:rPr>
          <w:rFonts w:cs="Arial"/>
          <w:b/>
          <w:color w:val="548DD4"/>
        </w:rPr>
        <w:t>Ryszard Malesa</w:t>
      </w:r>
    </w:p>
    <w:p w14:paraId="234BB8BF" w14:textId="45F06179" w:rsidR="00E21B3D" w:rsidRDefault="00E21B3D" w:rsidP="00530BAA">
      <w:pPr>
        <w:spacing w:before="120" w:after="120"/>
        <w:rPr>
          <w:rFonts w:cs="Arial"/>
          <w:color w:val="548DD4"/>
        </w:rPr>
      </w:pPr>
      <w:r w:rsidRPr="00A27352">
        <w:rPr>
          <w:rFonts w:cs="Arial"/>
          <w:b/>
        </w:rPr>
        <w:t xml:space="preserve">Czas trwania </w:t>
      </w:r>
      <w:r w:rsidRPr="00A27352">
        <w:rPr>
          <w:rFonts w:cs="Arial"/>
        </w:rPr>
        <w:t xml:space="preserve">- </w:t>
      </w:r>
      <w:r w:rsidR="002C3A0D">
        <w:rPr>
          <w:rFonts w:cs="Arial"/>
          <w:b/>
          <w:color w:val="548DD4"/>
        </w:rPr>
        <w:t>1</w:t>
      </w:r>
      <w:r w:rsidRPr="00A27352">
        <w:rPr>
          <w:rFonts w:cs="Arial"/>
          <w:b/>
          <w:color w:val="548DD4"/>
        </w:rPr>
        <w:t xml:space="preserve"> d</w:t>
      </w:r>
      <w:r w:rsidR="002C3A0D">
        <w:rPr>
          <w:rFonts w:cs="Arial"/>
          <w:b/>
          <w:color w:val="548DD4"/>
        </w:rPr>
        <w:t>zień</w:t>
      </w:r>
      <w:r w:rsidRPr="00A27352">
        <w:rPr>
          <w:rFonts w:cs="Arial"/>
          <w:b/>
          <w:color w:val="548DD4"/>
        </w:rPr>
        <w:t xml:space="preserve"> </w:t>
      </w:r>
      <w:r w:rsidRPr="00A27352">
        <w:rPr>
          <w:rFonts w:cs="Arial"/>
          <w:color w:val="548DD4"/>
        </w:rPr>
        <w:t>(</w:t>
      </w:r>
      <w:r w:rsidR="002C3A0D">
        <w:rPr>
          <w:rFonts w:cs="Arial"/>
          <w:color w:val="548DD4"/>
        </w:rPr>
        <w:t>8</w:t>
      </w:r>
      <w:r w:rsidR="0089300E" w:rsidRPr="0089300E">
        <w:rPr>
          <w:rFonts w:cs="Arial"/>
          <w:color w:val="548DD4"/>
        </w:rPr>
        <w:t xml:space="preserve"> godz.: </w:t>
      </w:r>
      <w:r w:rsidR="0089300E">
        <w:rPr>
          <w:rFonts w:cs="Arial"/>
          <w:color w:val="548DD4"/>
        </w:rPr>
        <w:t>8</w:t>
      </w:r>
      <w:r w:rsidR="0089300E" w:rsidRPr="0089300E">
        <w:rPr>
          <w:rFonts w:cs="Arial"/>
          <w:color w:val="548DD4"/>
        </w:rPr>
        <w:t>:00 – 1</w:t>
      </w:r>
      <w:r w:rsidR="002C3A0D">
        <w:rPr>
          <w:rFonts w:cs="Arial"/>
          <w:color w:val="548DD4"/>
        </w:rPr>
        <w:t>6</w:t>
      </w:r>
      <w:r w:rsidR="0089300E" w:rsidRPr="0089300E">
        <w:rPr>
          <w:rFonts w:cs="Arial"/>
          <w:color w:val="548DD4"/>
        </w:rPr>
        <w:t>:00</w:t>
      </w:r>
      <w:r w:rsidRPr="00A27352">
        <w:rPr>
          <w:rFonts w:cs="Arial"/>
          <w:color w:val="548DD4"/>
        </w:rPr>
        <w:t xml:space="preserve">) </w:t>
      </w:r>
    </w:p>
    <w:p w14:paraId="2AFB48D6" w14:textId="77777777" w:rsidR="006923A8" w:rsidRDefault="006923A8">
      <w:pPr>
        <w:spacing w:after="200" w:line="276" w:lineRule="auto"/>
        <w:jc w:val="lef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 w:type="page"/>
      </w:r>
    </w:p>
    <w:p w14:paraId="0525FE3B" w14:textId="77777777" w:rsidR="006923A8" w:rsidRPr="006923A8" w:rsidRDefault="006923A8" w:rsidP="006923A8">
      <w:pPr>
        <w:rPr>
          <w:rFonts w:ascii="Calibri" w:eastAsia="Calibri" w:hAnsi="Calibri" w:cs="Times New Roman"/>
          <w:sz w:val="28"/>
          <w:szCs w:val="28"/>
        </w:rPr>
      </w:pPr>
    </w:p>
    <w:p w14:paraId="1D96D1A9" w14:textId="77777777" w:rsidR="006923A8" w:rsidRPr="006923A8" w:rsidRDefault="006923A8" w:rsidP="006923A8">
      <w:pPr>
        <w:rPr>
          <w:rFonts w:ascii="Calibri" w:eastAsia="Calibri" w:hAnsi="Calibri" w:cs="Times New Roman"/>
          <w:sz w:val="28"/>
          <w:szCs w:val="28"/>
        </w:rPr>
      </w:pPr>
    </w:p>
    <w:p w14:paraId="3DF60B06" w14:textId="7FA19E43" w:rsidR="006923A8" w:rsidRPr="006923A8" w:rsidRDefault="006923A8" w:rsidP="006923A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923A8">
        <w:rPr>
          <w:rFonts w:ascii="Calibri" w:eastAsia="Calibri" w:hAnsi="Calibri" w:cs="Times New Roman"/>
          <w:b/>
          <w:sz w:val="28"/>
          <w:szCs w:val="28"/>
        </w:rPr>
        <w:t>Szkolenie Klubu POLLAB</w:t>
      </w:r>
      <w:r w:rsidR="00195D68">
        <w:rPr>
          <w:rFonts w:ascii="Calibri" w:eastAsia="Calibri" w:hAnsi="Calibri" w:cs="Times New Roman"/>
          <w:b/>
          <w:sz w:val="28"/>
          <w:szCs w:val="28"/>
        </w:rPr>
        <w:t xml:space="preserve"> (webinarium)</w:t>
      </w:r>
      <w:r w:rsidRPr="006923A8">
        <w:rPr>
          <w:rFonts w:ascii="Calibri" w:eastAsia="Calibri" w:hAnsi="Calibri" w:cs="Times New Roman"/>
          <w:b/>
          <w:sz w:val="28"/>
          <w:szCs w:val="28"/>
        </w:rPr>
        <w:br/>
      </w:r>
      <w:r w:rsidR="004A6CC7">
        <w:rPr>
          <w:rFonts w:ascii="Calibri" w:eastAsia="Calibri" w:hAnsi="Calibri" w:cs="Times New Roman"/>
          <w:b/>
          <w:sz w:val="28"/>
          <w:szCs w:val="28"/>
        </w:rPr>
        <w:t>1 d</w:t>
      </w:r>
      <w:r w:rsidRPr="006923A8">
        <w:rPr>
          <w:rFonts w:ascii="Calibri" w:eastAsia="Calibri" w:hAnsi="Calibri" w:cs="Times New Roman"/>
          <w:b/>
          <w:sz w:val="28"/>
          <w:szCs w:val="28"/>
        </w:rPr>
        <w:t xml:space="preserve">zień - czas trwania: </w:t>
      </w:r>
      <w:r w:rsidR="004A6CC7">
        <w:rPr>
          <w:rFonts w:ascii="Calibri" w:eastAsia="Calibri" w:hAnsi="Calibri" w:cs="Times New Roman"/>
          <w:b/>
          <w:sz w:val="28"/>
          <w:szCs w:val="28"/>
        </w:rPr>
        <w:t>8</w:t>
      </w:r>
      <w:r w:rsidRPr="006923A8">
        <w:rPr>
          <w:rFonts w:ascii="Calibri" w:eastAsia="Calibri" w:hAnsi="Calibri" w:cs="Times New Roman"/>
          <w:b/>
          <w:sz w:val="28"/>
          <w:szCs w:val="28"/>
        </w:rPr>
        <w:t>.00-1</w:t>
      </w:r>
      <w:r w:rsidR="004A6CC7">
        <w:rPr>
          <w:rFonts w:ascii="Calibri" w:eastAsia="Calibri" w:hAnsi="Calibri" w:cs="Times New Roman"/>
          <w:b/>
          <w:sz w:val="28"/>
          <w:szCs w:val="28"/>
        </w:rPr>
        <w:t>6</w:t>
      </w:r>
      <w:r w:rsidRPr="006923A8">
        <w:rPr>
          <w:rFonts w:ascii="Calibri" w:eastAsia="Calibri" w:hAnsi="Calibri" w:cs="Times New Roman"/>
          <w:b/>
          <w:sz w:val="28"/>
          <w:szCs w:val="28"/>
        </w:rPr>
        <w:t xml:space="preserve">.00 </w:t>
      </w:r>
      <w:proofErr w:type="gramStart"/>
      <w:r w:rsidRPr="006923A8">
        <w:rPr>
          <w:rFonts w:ascii="Calibri" w:eastAsia="Calibri" w:hAnsi="Calibri" w:cs="Times New Roman"/>
          <w:b/>
          <w:sz w:val="28"/>
          <w:szCs w:val="28"/>
        </w:rPr>
        <w:t xml:space="preserve">( </w:t>
      </w:r>
      <w:r w:rsidR="004A6CC7">
        <w:rPr>
          <w:rFonts w:ascii="Calibri" w:eastAsia="Calibri" w:hAnsi="Calibri" w:cs="Times New Roman"/>
          <w:b/>
          <w:sz w:val="28"/>
          <w:szCs w:val="28"/>
        </w:rPr>
        <w:t>8</w:t>
      </w:r>
      <w:proofErr w:type="gramEnd"/>
      <w:r w:rsidRPr="006923A8">
        <w:rPr>
          <w:rFonts w:ascii="Calibri" w:eastAsia="Calibri" w:hAnsi="Calibri" w:cs="Times New Roman"/>
          <w:b/>
          <w:sz w:val="28"/>
          <w:szCs w:val="28"/>
        </w:rPr>
        <w:t xml:space="preserve"> godzin)</w:t>
      </w:r>
    </w:p>
    <w:p w14:paraId="2311BBB9" w14:textId="37F2F53A" w:rsidR="006923A8" w:rsidRP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>45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 – </w:t>
      </w:r>
      <w:r>
        <w:rPr>
          <w:rFonts w:ascii="Calibri" w:eastAsia="Calibri" w:hAnsi="Calibri" w:cs="Times New Roman"/>
          <w:sz w:val="28"/>
          <w:szCs w:val="28"/>
        </w:rPr>
        <w:t>8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>00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 – rejestracja</w:t>
      </w:r>
    </w:p>
    <w:p w14:paraId="7A5B7A2D" w14:textId="79B91FFB" w:rsidR="006923A8" w:rsidRP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A6CC7">
        <w:rPr>
          <w:rFonts w:ascii="Calibri" w:eastAsia="Calibri" w:hAnsi="Calibri" w:cs="Times New Roman"/>
          <w:sz w:val="28"/>
          <w:szCs w:val="28"/>
        </w:rPr>
        <w:t>8:00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-</w:t>
      </w:r>
      <w:r>
        <w:rPr>
          <w:rFonts w:ascii="Calibri" w:eastAsia="Calibri" w:hAnsi="Calibri" w:cs="Times New Roman"/>
          <w:sz w:val="28"/>
          <w:szCs w:val="28"/>
        </w:rPr>
        <w:t xml:space="preserve"> 9</w:t>
      </w:r>
      <w:r w:rsidRPr="004A6CC7">
        <w:rPr>
          <w:rFonts w:ascii="Calibri" w:eastAsia="Calibri" w:hAnsi="Calibri" w:cs="Times New Roman"/>
          <w:sz w:val="28"/>
          <w:szCs w:val="28"/>
        </w:rPr>
        <w:t>:00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zajęcia</w:t>
      </w:r>
    </w:p>
    <w:p w14:paraId="226B059D" w14:textId="6B765723" w:rsidR="006923A8" w:rsidRP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A6CC7">
        <w:rPr>
          <w:rFonts w:ascii="Calibri" w:eastAsia="Calibri" w:hAnsi="Calibri" w:cs="Times New Roman"/>
          <w:sz w:val="28"/>
          <w:szCs w:val="28"/>
        </w:rPr>
        <w:t>9:00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4A6CC7">
        <w:rPr>
          <w:rFonts w:ascii="Calibri" w:eastAsia="Calibri" w:hAnsi="Calibri" w:cs="Times New Roman"/>
          <w:sz w:val="28"/>
          <w:szCs w:val="28"/>
        </w:rPr>
        <w:t>9:</w:t>
      </w:r>
      <w:r>
        <w:rPr>
          <w:rFonts w:ascii="Calibri" w:eastAsia="Calibri" w:hAnsi="Calibri" w:cs="Times New Roman"/>
          <w:sz w:val="28"/>
          <w:szCs w:val="28"/>
        </w:rPr>
        <w:t>1</w:t>
      </w:r>
      <w:r w:rsidRPr="004A6CC7">
        <w:rPr>
          <w:rFonts w:ascii="Calibri" w:eastAsia="Calibri" w:hAnsi="Calibri" w:cs="Times New Roman"/>
          <w:sz w:val="28"/>
          <w:szCs w:val="28"/>
        </w:rPr>
        <w:t>0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przerwa</w:t>
      </w:r>
    </w:p>
    <w:p w14:paraId="7EC315D9" w14:textId="6296C4EC" w:rsidR="006923A8" w:rsidRP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A6CC7">
        <w:rPr>
          <w:rFonts w:ascii="Calibri" w:eastAsia="Calibri" w:hAnsi="Calibri" w:cs="Times New Roman"/>
          <w:sz w:val="28"/>
          <w:szCs w:val="28"/>
        </w:rPr>
        <w:t xml:space="preserve">9:10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– </w:t>
      </w:r>
      <w:r>
        <w:rPr>
          <w:rFonts w:ascii="Calibri" w:eastAsia="Calibri" w:hAnsi="Calibri" w:cs="Times New Roman"/>
          <w:sz w:val="28"/>
          <w:szCs w:val="28"/>
        </w:rPr>
        <w:t>10</w:t>
      </w:r>
      <w:r w:rsidRPr="004A6CC7">
        <w:rPr>
          <w:rFonts w:ascii="Calibri" w:eastAsia="Calibri" w:hAnsi="Calibri" w:cs="Times New Roman"/>
          <w:sz w:val="28"/>
          <w:szCs w:val="28"/>
        </w:rPr>
        <w:t xml:space="preserve">:10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zajęcia</w:t>
      </w:r>
    </w:p>
    <w:p w14:paraId="1D2A206B" w14:textId="0245ECAE" w:rsidR="006923A8" w:rsidRP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4A6CC7">
        <w:rPr>
          <w:rFonts w:ascii="Calibri" w:eastAsia="Calibri" w:hAnsi="Calibri" w:cs="Times New Roman"/>
          <w:sz w:val="28"/>
          <w:szCs w:val="28"/>
        </w:rPr>
        <w:t xml:space="preserve">10:10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 –</w:t>
      </w:r>
      <w:proofErr w:type="gramEnd"/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 </w:t>
      </w:r>
      <w:r w:rsidRPr="004A6CC7">
        <w:rPr>
          <w:rFonts w:ascii="Calibri" w:eastAsia="Calibri" w:hAnsi="Calibri" w:cs="Times New Roman"/>
          <w:sz w:val="28"/>
          <w:szCs w:val="28"/>
        </w:rPr>
        <w:t>10:</w:t>
      </w:r>
      <w:r>
        <w:rPr>
          <w:rFonts w:ascii="Calibri" w:eastAsia="Calibri" w:hAnsi="Calibri" w:cs="Times New Roman"/>
          <w:sz w:val="28"/>
          <w:szCs w:val="28"/>
        </w:rPr>
        <w:t>3</w:t>
      </w:r>
      <w:r w:rsidRPr="004A6CC7">
        <w:rPr>
          <w:rFonts w:ascii="Calibri" w:eastAsia="Calibri" w:hAnsi="Calibri" w:cs="Times New Roman"/>
          <w:sz w:val="28"/>
          <w:szCs w:val="28"/>
        </w:rPr>
        <w:t xml:space="preserve">0 </w:t>
      </w:r>
      <w:r>
        <w:rPr>
          <w:rFonts w:ascii="Calibri" w:eastAsia="Calibri" w:hAnsi="Calibri" w:cs="Times New Roman"/>
          <w:sz w:val="28"/>
          <w:szCs w:val="28"/>
        </w:rPr>
        <w:t>przerwa</w:t>
      </w:r>
    </w:p>
    <w:p w14:paraId="742A62A3" w14:textId="6D7E6C8C" w:rsidR="006923A8" w:rsidRP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A6CC7">
        <w:rPr>
          <w:rFonts w:ascii="Calibri" w:eastAsia="Calibri" w:hAnsi="Calibri" w:cs="Times New Roman"/>
          <w:sz w:val="28"/>
          <w:szCs w:val="28"/>
        </w:rPr>
        <w:t xml:space="preserve">10:30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4A6CC7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1</w:t>
      </w:r>
      <w:r w:rsidRPr="004A6CC7">
        <w:rPr>
          <w:rFonts w:ascii="Calibri" w:eastAsia="Calibri" w:hAnsi="Calibri" w:cs="Times New Roman"/>
          <w:sz w:val="28"/>
          <w:szCs w:val="28"/>
        </w:rPr>
        <w:t xml:space="preserve">:30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zajęcia</w:t>
      </w:r>
    </w:p>
    <w:p w14:paraId="19170925" w14:textId="6200B1DF" w:rsidR="006923A8" w:rsidRP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4A6CC7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1</w:t>
      </w:r>
      <w:r w:rsidRPr="004A6CC7">
        <w:rPr>
          <w:rFonts w:ascii="Calibri" w:eastAsia="Calibri" w:hAnsi="Calibri" w:cs="Times New Roman"/>
          <w:sz w:val="28"/>
          <w:szCs w:val="28"/>
        </w:rPr>
        <w:t xml:space="preserve">:30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 –</w:t>
      </w:r>
      <w:proofErr w:type="gramEnd"/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 1</w:t>
      </w:r>
      <w:r>
        <w:rPr>
          <w:rFonts w:ascii="Calibri" w:eastAsia="Calibri" w:hAnsi="Calibri" w:cs="Times New Roman"/>
          <w:sz w:val="28"/>
          <w:szCs w:val="28"/>
        </w:rPr>
        <w:t>1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>4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0 przerwa</w:t>
      </w:r>
    </w:p>
    <w:p w14:paraId="23C682B8" w14:textId="77E6009C" w:rsidR="006923A8" w:rsidRP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A6CC7">
        <w:rPr>
          <w:rFonts w:ascii="Calibri" w:eastAsia="Calibri" w:hAnsi="Calibri" w:cs="Times New Roman"/>
          <w:sz w:val="28"/>
          <w:szCs w:val="28"/>
        </w:rPr>
        <w:t xml:space="preserve">11:40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4A6CC7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2</w:t>
      </w:r>
      <w:r w:rsidRPr="004A6CC7">
        <w:rPr>
          <w:rFonts w:ascii="Calibri" w:eastAsia="Calibri" w:hAnsi="Calibri" w:cs="Times New Roman"/>
          <w:sz w:val="28"/>
          <w:szCs w:val="28"/>
        </w:rPr>
        <w:t xml:space="preserve">:40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zajęcia</w:t>
      </w:r>
    </w:p>
    <w:p w14:paraId="1191A21E" w14:textId="57B916F0" w:rsidR="006923A8" w:rsidRP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A6CC7">
        <w:rPr>
          <w:rFonts w:ascii="Calibri" w:eastAsia="Calibri" w:hAnsi="Calibri" w:cs="Times New Roman"/>
          <w:sz w:val="28"/>
          <w:szCs w:val="28"/>
        </w:rPr>
        <w:t xml:space="preserve">12:40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– </w:t>
      </w:r>
      <w:r w:rsidRPr="004A6CC7">
        <w:rPr>
          <w:rFonts w:ascii="Calibri" w:eastAsia="Calibri" w:hAnsi="Calibri" w:cs="Times New Roman"/>
          <w:sz w:val="28"/>
          <w:szCs w:val="28"/>
        </w:rPr>
        <w:t>12:</w:t>
      </w:r>
      <w:r>
        <w:rPr>
          <w:rFonts w:ascii="Calibri" w:eastAsia="Calibri" w:hAnsi="Calibri" w:cs="Times New Roman"/>
          <w:sz w:val="28"/>
          <w:szCs w:val="28"/>
        </w:rPr>
        <w:t>5</w:t>
      </w:r>
      <w:r w:rsidRPr="004A6CC7">
        <w:rPr>
          <w:rFonts w:ascii="Calibri" w:eastAsia="Calibri" w:hAnsi="Calibri" w:cs="Times New Roman"/>
          <w:sz w:val="28"/>
          <w:szCs w:val="28"/>
        </w:rPr>
        <w:t xml:space="preserve">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przerwa</w:t>
      </w:r>
    </w:p>
    <w:p w14:paraId="1B050123" w14:textId="600F01A2" w:rsidR="006923A8" w:rsidRDefault="004A6CC7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4A6CC7">
        <w:rPr>
          <w:rFonts w:ascii="Calibri" w:eastAsia="Calibri" w:hAnsi="Calibri" w:cs="Times New Roman"/>
          <w:sz w:val="28"/>
          <w:szCs w:val="28"/>
        </w:rPr>
        <w:t xml:space="preserve">12:50 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– 1</w:t>
      </w:r>
      <w:r>
        <w:rPr>
          <w:rFonts w:ascii="Calibri" w:eastAsia="Calibri" w:hAnsi="Calibri" w:cs="Times New Roman"/>
          <w:sz w:val="28"/>
          <w:szCs w:val="28"/>
        </w:rPr>
        <w:t>3</w:t>
      </w:r>
      <w:r w:rsidR="006923A8" w:rsidRPr="006923A8">
        <w:rPr>
          <w:rFonts w:ascii="Calibri" w:eastAsia="Calibri" w:hAnsi="Calibri" w:cs="Times New Roman"/>
          <w:sz w:val="28"/>
          <w:szCs w:val="28"/>
        </w:rPr>
        <w:t>:</w:t>
      </w:r>
      <w:r w:rsidR="00195D68">
        <w:rPr>
          <w:rFonts w:ascii="Calibri" w:eastAsia="Calibri" w:hAnsi="Calibri" w:cs="Times New Roman"/>
          <w:sz w:val="28"/>
          <w:szCs w:val="28"/>
        </w:rPr>
        <w:t>5</w:t>
      </w:r>
      <w:r w:rsidR="006923A8" w:rsidRPr="006923A8">
        <w:rPr>
          <w:rFonts w:ascii="Calibri" w:eastAsia="Calibri" w:hAnsi="Calibri" w:cs="Times New Roman"/>
          <w:sz w:val="28"/>
          <w:szCs w:val="28"/>
        </w:rPr>
        <w:t xml:space="preserve">0 zajęcia </w:t>
      </w:r>
    </w:p>
    <w:p w14:paraId="1E55378C" w14:textId="0408A3BB" w:rsidR="00195D68" w:rsidRPr="00195D68" w:rsidRDefault="00195D68" w:rsidP="00195D6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13</w:t>
      </w:r>
      <w:r w:rsidRPr="00195D68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>5</w:t>
      </w:r>
      <w:r w:rsidRPr="00195D68">
        <w:rPr>
          <w:rFonts w:ascii="Calibri" w:eastAsia="Calibri" w:hAnsi="Calibri" w:cs="Times New Roman"/>
          <w:sz w:val="28"/>
          <w:szCs w:val="28"/>
        </w:rPr>
        <w:t xml:space="preserve">0 – </w:t>
      </w:r>
      <w:r>
        <w:rPr>
          <w:rFonts w:ascii="Calibri" w:eastAsia="Calibri" w:hAnsi="Calibri" w:cs="Times New Roman"/>
          <w:sz w:val="28"/>
          <w:szCs w:val="28"/>
        </w:rPr>
        <w:t>14</w:t>
      </w:r>
      <w:r w:rsidRPr="00195D68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>0</w:t>
      </w:r>
      <w:r w:rsidRPr="00195D68">
        <w:rPr>
          <w:rFonts w:ascii="Calibri" w:eastAsia="Calibri" w:hAnsi="Calibri" w:cs="Times New Roman"/>
          <w:sz w:val="28"/>
          <w:szCs w:val="28"/>
        </w:rPr>
        <w:t>0 przerwa</w:t>
      </w:r>
    </w:p>
    <w:p w14:paraId="3C366ECC" w14:textId="2D2947BB" w:rsidR="004A6CC7" w:rsidRDefault="00195D68" w:rsidP="00195D6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95D68">
        <w:rPr>
          <w:rFonts w:ascii="Calibri" w:eastAsia="Calibri" w:hAnsi="Calibri" w:cs="Times New Roman"/>
          <w:sz w:val="28"/>
          <w:szCs w:val="28"/>
        </w:rPr>
        <w:t>14:00 – 1</w:t>
      </w:r>
      <w:r>
        <w:rPr>
          <w:rFonts w:ascii="Calibri" w:eastAsia="Calibri" w:hAnsi="Calibri" w:cs="Times New Roman"/>
          <w:sz w:val="28"/>
          <w:szCs w:val="28"/>
        </w:rPr>
        <w:t>5</w:t>
      </w:r>
      <w:r w:rsidRPr="00195D68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>0</w:t>
      </w:r>
      <w:r w:rsidRPr="00195D68">
        <w:rPr>
          <w:rFonts w:ascii="Calibri" w:eastAsia="Calibri" w:hAnsi="Calibri" w:cs="Times New Roman"/>
          <w:sz w:val="28"/>
          <w:szCs w:val="28"/>
        </w:rPr>
        <w:t>0 zajęcia</w:t>
      </w:r>
    </w:p>
    <w:p w14:paraId="40AAA77E" w14:textId="1A8EC98C" w:rsidR="00547520" w:rsidRDefault="006923A8" w:rsidP="0054752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923A8">
        <w:rPr>
          <w:rFonts w:ascii="Calibri" w:eastAsia="Calibri" w:hAnsi="Calibri" w:cs="Times New Roman"/>
          <w:sz w:val="28"/>
          <w:szCs w:val="28"/>
        </w:rPr>
        <w:t>15:</w:t>
      </w:r>
      <w:r w:rsidR="00195D68">
        <w:rPr>
          <w:rFonts w:ascii="Calibri" w:eastAsia="Calibri" w:hAnsi="Calibri" w:cs="Times New Roman"/>
          <w:sz w:val="28"/>
          <w:szCs w:val="28"/>
        </w:rPr>
        <w:t>0</w:t>
      </w:r>
      <w:r w:rsidRPr="006923A8">
        <w:rPr>
          <w:rFonts w:ascii="Calibri" w:eastAsia="Calibri" w:hAnsi="Calibri" w:cs="Times New Roman"/>
          <w:sz w:val="28"/>
          <w:szCs w:val="28"/>
        </w:rPr>
        <w:t xml:space="preserve">0 – </w:t>
      </w:r>
      <w:r w:rsidR="00195D68">
        <w:rPr>
          <w:rFonts w:ascii="Calibri" w:eastAsia="Calibri" w:hAnsi="Calibri" w:cs="Times New Roman"/>
          <w:sz w:val="28"/>
          <w:szCs w:val="28"/>
        </w:rPr>
        <w:t xml:space="preserve">15:10 </w:t>
      </w:r>
      <w:r w:rsidR="00195D68" w:rsidRPr="00195D68">
        <w:rPr>
          <w:rFonts w:ascii="Calibri" w:eastAsia="Calibri" w:hAnsi="Calibri" w:cs="Times New Roman"/>
          <w:sz w:val="28"/>
          <w:szCs w:val="28"/>
        </w:rPr>
        <w:t>przerwa</w:t>
      </w:r>
    </w:p>
    <w:p w14:paraId="30FB63CE" w14:textId="4B471EED" w:rsidR="00195D68" w:rsidRDefault="00195D68" w:rsidP="0054752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15</w:t>
      </w:r>
      <w:r w:rsidRPr="00195D68">
        <w:rPr>
          <w:rFonts w:ascii="Calibri" w:eastAsia="Calibri" w:hAnsi="Calibri" w:cs="Times New Roman"/>
          <w:sz w:val="28"/>
          <w:szCs w:val="28"/>
        </w:rPr>
        <w:t>:10 – 1</w:t>
      </w:r>
      <w:r>
        <w:rPr>
          <w:rFonts w:ascii="Calibri" w:eastAsia="Calibri" w:hAnsi="Calibri" w:cs="Times New Roman"/>
          <w:sz w:val="28"/>
          <w:szCs w:val="28"/>
        </w:rPr>
        <w:t>6</w:t>
      </w:r>
      <w:r w:rsidRPr="00195D68"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>0</w:t>
      </w:r>
      <w:r w:rsidRPr="00195D68">
        <w:rPr>
          <w:rFonts w:ascii="Calibri" w:eastAsia="Calibri" w:hAnsi="Calibri" w:cs="Times New Roman"/>
          <w:sz w:val="28"/>
          <w:szCs w:val="28"/>
        </w:rPr>
        <w:t>0 zajęcia</w:t>
      </w:r>
    </w:p>
    <w:p w14:paraId="6DE86F00" w14:textId="77777777" w:rsidR="00547520" w:rsidRDefault="00547520" w:rsidP="0054752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08F7583A" w14:textId="0F44D4B3" w:rsidR="004A6CC7" w:rsidRDefault="004A6CC7">
      <w:pPr>
        <w:spacing w:after="200" w:line="276" w:lineRule="auto"/>
        <w:jc w:val="lef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14:paraId="5EA09418" w14:textId="77777777" w:rsidR="00547520" w:rsidRDefault="00547520" w:rsidP="0054752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14005B0D" w14:textId="77777777" w:rsidR="006923A8" w:rsidRPr="006923A8" w:rsidRDefault="006923A8" w:rsidP="0054752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923A8">
        <w:rPr>
          <w:rFonts w:eastAsia="Calibri" w:cs="Times New Roman"/>
          <w:u w:val="single"/>
        </w:rPr>
        <w:t>Program obejm</w:t>
      </w:r>
      <w:r>
        <w:rPr>
          <w:rFonts w:eastAsia="Calibri" w:cs="Times New Roman"/>
          <w:u w:val="single"/>
        </w:rPr>
        <w:t>uje</w:t>
      </w:r>
      <w:r w:rsidRPr="006923A8">
        <w:rPr>
          <w:rFonts w:eastAsia="Calibri" w:cs="Times New Roman"/>
          <w:u w:val="single"/>
        </w:rPr>
        <w:t xml:space="preserve"> następujące zagadnienia:</w:t>
      </w:r>
    </w:p>
    <w:p w14:paraId="6CB1BB1E" w14:textId="77777777" w:rsidR="006923A8" w:rsidRPr="006923A8" w:rsidRDefault="006923A8" w:rsidP="006923A8">
      <w:pPr>
        <w:rPr>
          <w:rFonts w:eastAsia="Calibri" w:cs="Times New Roman"/>
        </w:rPr>
      </w:pPr>
    </w:p>
    <w:p w14:paraId="79644CFB" w14:textId="77777777" w:rsidR="006923A8" w:rsidRPr="006923A8" w:rsidRDefault="006923A8" w:rsidP="006923A8">
      <w:pPr>
        <w:rPr>
          <w:rFonts w:eastAsia="Calibri" w:cs="Times New Roman"/>
          <w:b/>
        </w:rPr>
      </w:pPr>
      <w:r w:rsidRPr="006923A8">
        <w:rPr>
          <w:rFonts w:eastAsia="Calibri" w:cs="Times New Roman"/>
          <w:b/>
        </w:rPr>
        <w:t>Wykład</w:t>
      </w:r>
    </w:p>
    <w:p w14:paraId="17EA265B" w14:textId="428773DA" w:rsidR="006923A8" w:rsidRPr="006923A8" w:rsidRDefault="006923A8" w:rsidP="006923A8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6923A8">
        <w:rPr>
          <w:rFonts w:eastAsia="Calibri" w:cs="Times New Roman"/>
        </w:rPr>
        <w:t xml:space="preserve">Zawartość normy PN-EN ISO/IEC </w:t>
      </w:r>
      <w:r w:rsidR="00195D68" w:rsidRPr="00195D68">
        <w:rPr>
          <w:rFonts w:eastAsia="Calibri" w:cs="Times New Roman"/>
        </w:rPr>
        <w:t>17043:2023-10</w:t>
      </w:r>
      <w:r w:rsidRPr="006923A8">
        <w:rPr>
          <w:rFonts w:eastAsia="Calibri" w:cs="Times New Roman"/>
        </w:rPr>
        <w:t xml:space="preserve">. </w:t>
      </w:r>
    </w:p>
    <w:p w14:paraId="0CCE3D90" w14:textId="1B360F60" w:rsidR="006923A8" w:rsidRPr="006923A8" w:rsidRDefault="006923A8" w:rsidP="006923A8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6923A8">
        <w:rPr>
          <w:rFonts w:eastAsia="Calibri" w:cs="Times New Roman"/>
        </w:rPr>
        <w:t xml:space="preserve">Zasadnicze zmiany w stosunku do PN-EN ISO/IEC </w:t>
      </w:r>
      <w:r w:rsidR="00195D68" w:rsidRPr="00195D68">
        <w:rPr>
          <w:rFonts w:eastAsia="Calibri" w:cs="Times New Roman"/>
        </w:rPr>
        <w:t>17043:20</w:t>
      </w:r>
      <w:r w:rsidR="00195D68">
        <w:rPr>
          <w:rFonts w:eastAsia="Calibri" w:cs="Times New Roman"/>
        </w:rPr>
        <w:t>11</w:t>
      </w:r>
      <w:r w:rsidRPr="006923A8">
        <w:rPr>
          <w:rFonts w:eastAsia="Calibri" w:cs="Times New Roman"/>
        </w:rPr>
        <w:t xml:space="preserve">. </w:t>
      </w:r>
    </w:p>
    <w:p w14:paraId="5F1C823F" w14:textId="77777777" w:rsidR="006923A8" w:rsidRPr="006923A8" w:rsidRDefault="006923A8" w:rsidP="006923A8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6923A8">
        <w:rPr>
          <w:rFonts w:eastAsia="Calibri" w:cs="Times New Roman"/>
        </w:rPr>
        <w:t>Nowe terminy i definicje, bezstronność i poufność.</w:t>
      </w:r>
    </w:p>
    <w:p w14:paraId="63BD88EB" w14:textId="548C613D" w:rsidR="006923A8" w:rsidRPr="006923A8" w:rsidRDefault="006923A8" w:rsidP="006923A8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6923A8">
        <w:rPr>
          <w:rFonts w:eastAsia="Calibri" w:cs="Times New Roman"/>
        </w:rPr>
        <w:t xml:space="preserve">Wymagania dotyczące organizacji i struktury </w:t>
      </w:r>
      <w:r w:rsidR="00195D68">
        <w:rPr>
          <w:rFonts w:eastAsia="Calibri" w:cs="Times New Roman"/>
        </w:rPr>
        <w:t>organizatora PT</w:t>
      </w:r>
      <w:r w:rsidRPr="006923A8">
        <w:rPr>
          <w:rFonts w:eastAsia="Calibri" w:cs="Times New Roman"/>
        </w:rPr>
        <w:t xml:space="preserve">. </w:t>
      </w:r>
    </w:p>
    <w:p w14:paraId="793A9DFF" w14:textId="77777777" w:rsidR="006923A8" w:rsidRPr="006923A8" w:rsidRDefault="006923A8" w:rsidP="006923A8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6923A8">
        <w:rPr>
          <w:rFonts w:eastAsia="Calibri" w:cs="Times New Roman"/>
        </w:rPr>
        <w:t xml:space="preserve">Odpowiedzialność, upoważnienia i relacje personelu. </w:t>
      </w:r>
    </w:p>
    <w:p w14:paraId="58CC3ECA" w14:textId="13376D68" w:rsidR="006923A8" w:rsidRPr="006923A8" w:rsidRDefault="006923A8" w:rsidP="006923A8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6923A8">
        <w:rPr>
          <w:rFonts w:eastAsia="Calibri" w:cs="Times New Roman"/>
        </w:rPr>
        <w:t>Wymagania dotyczące zasobów.</w:t>
      </w:r>
    </w:p>
    <w:p w14:paraId="165979DB" w14:textId="40948E06" w:rsidR="006923A8" w:rsidRDefault="006923A8" w:rsidP="0056489D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4B3089">
        <w:rPr>
          <w:rFonts w:eastAsia="Calibri" w:cs="Times New Roman"/>
        </w:rPr>
        <w:t xml:space="preserve">Podejście procesowe. Dokumentowanie realizacji procesu. </w:t>
      </w:r>
    </w:p>
    <w:p w14:paraId="3F595E52" w14:textId="12C4BC58" w:rsidR="005D434A" w:rsidRPr="0056489D" w:rsidRDefault="005D434A" w:rsidP="0056489D">
      <w:pPr>
        <w:numPr>
          <w:ilvl w:val="0"/>
          <w:numId w:val="2"/>
        </w:numPr>
        <w:contextualSpacing/>
        <w:rPr>
          <w:rFonts w:eastAsia="Calibri" w:cs="Times New Roman"/>
        </w:rPr>
      </w:pPr>
      <w:r>
        <w:rPr>
          <w:rFonts w:eastAsia="Calibri" w:cs="Times New Roman"/>
        </w:rPr>
        <w:t>System zarz</w:t>
      </w:r>
      <w:r w:rsidR="00894CC3">
        <w:rPr>
          <w:rFonts w:eastAsia="Calibri" w:cs="Times New Roman"/>
        </w:rPr>
        <w:t>ądzania - wybrane elementy</w:t>
      </w:r>
      <w:r w:rsidR="003D5FD2">
        <w:rPr>
          <w:rFonts w:eastAsia="Calibri" w:cs="Times New Roman"/>
        </w:rPr>
        <w:t xml:space="preserve"> (m.in</w:t>
      </w:r>
      <w:r w:rsidR="00894CC3">
        <w:rPr>
          <w:rFonts w:eastAsia="Calibri" w:cs="Times New Roman"/>
        </w:rPr>
        <w:t>.</w:t>
      </w:r>
      <w:r w:rsidR="003D5FD2">
        <w:rPr>
          <w:rFonts w:eastAsia="Calibri" w:cs="Times New Roman"/>
        </w:rPr>
        <w:t xml:space="preserve"> ryzyka i szanse).</w:t>
      </w:r>
    </w:p>
    <w:p w14:paraId="6843C0AA" w14:textId="77777777" w:rsidR="0056489D" w:rsidRDefault="006923A8" w:rsidP="006923A8">
      <w:pPr>
        <w:numPr>
          <w:ilvl w:val="0"/>
          <w:numId w:val="2"/>
        </w:numPr>
        <w:contextualSpacing/>
        <w:rPr>
          <w:rFonts w:eastAsia="Calibri" w:cs="Times New Roman"/>
        </w:rPr>
      </w:pPr>
      <w:r w:rsidRPr="006923A8">
        <w:rPr>
          <w:rFonts w:eastAsia="Calibri" w:cs="Times New Roman"/>
        </w:rPr>
        <w:t xml:space="preserve">Skargi. </w:t>
      </w:r>
    </w:p>
    <w:p w14:paraId="1D8021BB" w14:textId="2FC77195" w:rsidR="006923A8" w:rsidRPr="006923A8" w:rsidRDefault="0056489D" w:rsidP="006923A8">
      <w:pPr>
        <w:numPr>
          <w:ilvl w:val="0"/>
          <w:numId w:val="2"/>
        </w:numPr>
        <w:contextualSpacing/>
        <w:rPr>
          <w:rFonts w:eastAsia="Calibri" w:cs="Times New Roman"/>
        </w:rPr>
      </w:pPr>
      <w:r>
        <w:rPr>
          <w:rFonts w:eastAsia="Calibri" w:cs="Times New Roman"/>
        </w:rPr>
        <w:t>Odwołania.</w:t>
      </w:r>
    </w:p>
    <w:p w14:paraId="651E19C6" w14:textId="4A646197" w:rsidR="006923A8" w:rsidRDefault="005D434A" w:rsidP="006923A8">
      <w:pPr>
        <w:numPr>
          <w:ilvl w:val="0"/>
          <w:numId w:val="2"/>
        </w:numPr>
        <w:contextualSpacing/>
        <w:rPr>
          <w:rFonts w:eastAsia="Calibri" w:cs="Times New Roman"/>
        </w:rPr>
      </w:pPr>
      <w:r>
        <w:rPr>
          <w:rFonts w:eastAsia="Calibri" w:cs="Times New Roman"/>
        </w:rPr>
        <w:t>Metody statystyczne</w:t>
      </w:r>
      <w:r w:rsidR="006923A8" w:rsidRPr="006923A8">
        <w:rPr>
          <w:rFonts w:eastAsia="Calibri" w:cs="Times New Roman"/>
        </w:rPr>
        <w:t xml:space="preserve"> </w:t>
      </w:r>
      <w:r w:rsidR="003D5FD2">
        <w:rPr>
          <w:rFonts w:eastAsia="Calibri" w:cs="Times New Roman"/>
        </w:rPr>
        <w:t>z uwzględnieniem normy ISO 13528.</w:t>
      </w:r>
    </w:p>
    <w:p w14:paraId="590689F8" w14:textId="7C9D8282" w:rsidR="003769EF" w:rsidRPr="003769EF" w:rsidRDefault="003769EF" w:rsidP="00E7764D">
      <w:pPr>
        <w:numPr>
          <w:ilvl w:val="0"/>
          <w:numId w:val="2"/>
        </w:numPr>
        <w:contextualSpacing/>
        <w:jc w:val="left"/>
        <w:rPr>
          <w:rFonts w:eastAsia="Calibri" w:cs="Times New Roman"/>
        </w:rPr>
      </w:pPr>
      <w:r>
        <w:rPr>
          <w:rFonts w:eastAsia="Calibri" w:cs="Times New Roman"/>
        </w:rPr>
        <w:t>Wpływ nowelizacji normy 17043 na w</w:t>
      </w:r>
      <w:r w:rsidRPr="003769EF">
        <w:rPr>
          <w:rFonts w:eastAsia="Calibri" w:cs="Times New Roman"/>
        </w:rPr>
        <w:t>ytyczne dotyczące małych porównań międzylaboratoryjnych</w:t>
      </w:r>
      <w:r w:rsidR="00E7764D">
        <w:rPr>
          <w:rFonts w:eastAsia="Calibri" w:cs="Times New Roman"/>
        </w:rPr>
        <w:t>,</w:t>
      </w:r>
      <w:r>
        <w:rPr>
          <w:rFonts w:eastAsia="Calibri" w:cs="Times New Roman"/>
        </w:rPr>
        <w:t xml:space="preserve"> zawarte w </w:t>
      </w:r>
      <w:r w:rsidRPr="003769EF">
        <w:rPr>
          <w:rFonts w:eastAsia="Calibri" w:cs="Times New Roman"/>
        </w:rPr>
        <w:t xml:space="preserve">EA-4/21 </w:t>
      </w:r>
      <w:proofErr w:type="spellStart"/>
      <w:r w:rsidRPr="003769EF">
        <w:rPr>
          <w:rFonts w:eastAsia="Calibri" w:cs="Times New Roman"/>
        </w:rPr>
        <w:t>INF</w:t>
      </w:r>
      <w:proofErr w:type="spellEnd"/>
      <w:r w:rsidRPr="003769EF">
        <w:rPr>
          <w:rFonts w:eastAsia="Calibri" w:cs="Times New Roman"/>
        </w:rPr>
        <w:t>: 2018</w:t>
      </w:r>
      <w:r>
        <w:rPr>
          <w:rFonts w:eastAsia="Calibri" w:cs="Times New Roman"/>
        </w:rPr>
        <w:t>.</w:t>
      </w:r>
    </w:p>
    <w:p w14:paraId="0FCFCDF4" w14:textId="77777777" w:rsidR="006923A8" w:rsidRPr="006923A8" w:rsidRDefault="006923A8" w:rsidP="006923A8">
      <w:pPr>
        <w:rPr>
          <w:rFonts w:eastAsia="Calibri" w:cs="Times New Roman"/>
        </w:rPr>
      </w:pPr>
    </w:p>
    <w:p w14:paraId="321CC97B" w14:textId="15102967" w:rsidR="006923A8" w:rsidRPr="006923A8" w:rsidRDefault="00195D68" w:rsidP="006923A8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Dyskusja, możliwość zadawania pytań, udzielanie odpowiedzi</w:t>
      </w:r>
      <w:r w:rsidR="006923A8" w:rsidRPr="006923A8">
        <w:rPr>
          <w:rFonts w:eastAsia="Calibri" w:cs="Times New Roman"/>
          <w:b/>
        </w:rPr>
        <w:t xml:space="preserve"> </w:t>
      </w:r>
    </w:p>
    <w:p w14:paraId="156A443C" w14:textId="7707ADA5" w:rsidR="006923A8" w:rsidRPr="006923A8" w:rsidRDefault="00195D68" w:rsidP="006923A8">
      <w:pPr>
        <w:rPr>
          <w:rFonts w:eastAsia="Calibri" w:cs="Times New Roman"/>
        </w:rPr>
      </w:pPr>
      <w:r>
        <w:rPr>
          <w:rFonts w:eastAsia="Calibri" w:cs="Times New Roman"/>
        </w:rPr>
        <w:t xml:space="preserve">Tematyka i zakres pytań </w:t>
      </w:r>
      <w:r w:rsidR="00E7764D">
        <w:rPr>
          <w:rFonts w:eastAsia="Calibri" w:cs="Times New Roman"/>
        </w:rPr>
        <w:t xml:space="preserve">dotyczących szkolenia, </w:t>
      </w:r>
      <w:r>
        <w:rPr>
          <w:rFonts w:eastAsia="Calibri" w:cs="Times New Roman"/>
        </w:rPr>
        <w:t>są otwarte i pozostają do uznania uczestników</w:t>
      </w:r>
      <w:r w:rsidR="006923A8" w:rsidRPr="006923A8">
        <w:rPr>
          <w:rFonts w:eastAsia="Calibri" w:cs="Times New Roman"/>
        </w:rPr>
        <w:t>.</w:t>
      </w:r>
    </w:p>
    <w:p w14:paraId="28C86F64" w14:textId="77777777" w:rsidR="006923A8" w:rsidRPr="006923A8" w:rsidRDefault="006923A8" w:rsidP="006923A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2C660EA5" w14:textId="77777777" w:rsidR="006923A8" w:rsidRDefault="006923A8" w:rsidP="00530BAA">
      <w:pPr>
        <w:spacing w:before="120" w:after="120"/>
        <w:rPr>
          <w:rFonts w:cs="Arial"/>
          <w:color w:val="548DD4"/>
        </w:rPr>
      </w:pPr>
    </w:p>
    <w:p w14:paraId="624C9613" w14:textId="77777777" w:rsidR="006923A8" w:rsidRPr="006D0431" w:rsidRDefault="006923A8" w:rsidP="00530BAA">
      <w:pPr>
        <w:spacing w:before="120" w:after="120"/>
        <w:rPr>
          <w:rFonts w:cs="Arial"/>
          <w:color w:val="0000FF"/>
          <w:sz w:val="6"/>
          <w:szCs w:val="6"/>
        </w:rPr>
      </w:pPr>
    </w:p>
    <w:sectPr w:rsidR="006923A8" w:rsidRPr="006D0431" w:rsidSect="00E21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4373" w14:textId="77777777" w:rsidR="007F02D4" w:rsidRDefault="007F02D4" w:rsidP="006923A8">
      <w:r>
        <w:separator/>
      </w:r>
    </w:p>
  </w:endnote>
  <w:endnote w:type="continuationSeparator" w:id="0">
    <w:p w14:paraId="18522BF5" w14:textId="77777777" w:rsidR="007F02D4" w:rsidRDefault="007F02D4" w:rsidP="006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B9EF" w14:textId="77777777" w:rsidR="00DD34EF" w:rsidRDefault="00DD34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454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66"/>
      <w:gridCol w:w="5528"/>
    </w:tblGrid>
    <w:tr w:rsidR="006923A8" w:rsidRPr="002F0350" w14:paraId="0201250A" w14:textId="77777777" w:rsidTr="00F7555C">
      <w:tc>
        <w:tcPr>
          <w:tcW w:w="4366" w:type="dxa"/>
        </w:tcPr>
        <w:p w14:paraId="5E4A3BC0" w14:textId="77777777" w:rsidR="006923A8" w:rsidRPr="002F0350" w:rsidRDefault="006923A8" w:rsidP="006923A8">
          <w:pPr>
            <w:rPr>
              <w:sz w:val="12"/>
            </w:rPr>
          </w:pPr>
        </w:p>
      </w:tc>
      <w:tc>
        <w:tcPr>
          <w:tcW w:w="5528" w:type="dxa"/>
        </w:tcPr>
        <w:p w14:paraId="60E3109C" w14:textId="77777777" w:rsidR="006923A8" w:rsidRPr="002F0350" w:rsidRDefault="006923A8" w:rsidP="006923A8">
          <w:pPr>
            <w:rPr>
              <w:b/>
              <w:sz w:val="12"/>
            </w:rPr>
          </w:pPr>
        </w:p>
      </w:tc>
    </w:tr>
  </w:tbl>
  <w:p w14:paraId="00F6A77C" w14:textId="77777777" w:rsidR="006923A8" w:rsidRDefault="006923A8" w:rsidP="006923A8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FFF501" wp14:editId="78671847">
          <wp:simplePos x="0" y="0"/>
          <wp:positionH relativeFrom="page">
            <wp:posOffset>0</wp:posOffset>
          </wp:positionH>
          <wp:positionV relativeFrom="page">
            <wp:posOffset>6560820</wp:posOffset>
          </wp:positionV>
          <wp:extent cx="8168640" cy="4933315"/>
          <wp:effectExtent l="0" t="0" r="381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8640" cy="493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3F208" w14:textId="77777777" w:rsidR="006923A8" w:rsidRPr="006923A8" w:rsidRDefault="006923A8" w:rsidP="006923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8760" w14:textId="77777777" w:rsidR="00DD34EF" w:rsidRDefault="00DD3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EA0F" w14:textId="77777777" w:rsidR="007F02D4" w:rsidRDefault="007F02D4" w:rsidP="006923A8">
      <w:r>
        <w:separator/>
      </w:r>
    </w:p>
  </w:footnote>
  <w:footnote w:type="continuationSeparator" w:id="0">
    <w:p w14:paraId="64D3957C" w14:textId="77777777" w:rsidR="007F02D4" w:rsidRDefault="007F02D4" w:rsidP="006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198D" w14:textId="77777777" w:rsidR="00DD34EF" w:rsidRDefault="00DD34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DC1B" w14:textId="77777777" w:rsidR="006923A8" w:rsidRDefault="006923A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97C70" wp14:editId="2757B679">
          <wp:simplePos x="0" y="0"/>
          <wp:positionH relativeFrom="page">
            <wp:posOffset>127000</wp:posOffset>
          </wp:positionH>
          <wp:positionV relativeFrom="page">
            <wp:posOffset>106680</wp:posOffset>
          </wp:positionV>
          <wp:extent cx="3238500" cy="723900"/>
          <wp:effectExtent l="0" t="0" r="0" b="0"/>
          <wp:wrapNone/>
          <wp:docPr id="2" name="Obraz 2" descr="logo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A815" w14:textId="77777777" w:rsidR="00DD34EF" w:rsidRDefault="00DD34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50C37"/>
    <w:multiLevelType w:val="hybridMultilevel"/>
    <w:tmpl w:val="314C90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94A"/>
    <w:multiLevelType w:val="hybridMultilevel"/>
    <w:tmpl w:val="8ED2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48218">
    <w:abstractNumId w:val="1"/>
  </w:num>
  <w:num w:numId="2" w16cid:durableId="158560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E"/>
    <w:rsid w:val="00001EC6"/>
    <w:rsid w:val="00031C50"/>
    <w:rsid w:val="00187824"/>
    <w:rsid w:val="00192485"/>
    <w:rsid w:val="00195D68"/>
    <w:rsid w:val="0021500B"/>
    <w:rsid w:val="00232290"/>
    <w:rsid w:val="002C0977"/>
    <w:rsid w:val="002C3A0D"/>
    <w:rsid w:val="003562FF"/>
    <w:rsid w:val="003769EF"/>
    <w:rsid w:val="003D5FD2"/>
    <w:rsid w:val="003F4F4D"/>
    <w:rsid w:val="00484347"/>
    <w:rsid w:val="004A6CC7"/>
    <w:rsid w:val="004B3089"/>
    <w:rsid w:val="004B7CBB"/>
    <w:rsid w:val="004F0992"/>
    <w:rsid w:val="004F4CC4"/>
    <w:rsid w:val="00530BAA"/>
    <w:rsid w:val="00547520"/>
    <w:rsid w:val="0056489D"/>
    <w:rsid w:val="005D434A"/>
    <w:rsid w:val="00611AA2"/>
    <w:rsid w:val="006251B6"/>
    <w:rsid w:val="006923A8"/>
    <w:rsid w:val="006B11F6"/>
    <w:rsid w:val="007B41F3"/>
    <w:rsid w:val="007F02D4"/>
    <w:rsid w:val="0089300E"/>
    <w:rsid w:val="00894CC3"/>
    <w:rsid w:val="009810C3"/>
    <w:rsid w:val="0099168C"/>
    <w:rsid w:val="00993C9E"/>
    <w:rsid w:val="00994257"/>
    <w:rsid w:val="009A0CF5"/>
    <w:rsid w:val="009F1833"/>
    <w:rsid w:val="00A1329E"/>
    <w:rsid w:val="00A2593B"/>
    <w:rsid w:val="00A52A7C"/>
    <w:rsid w:val="00A669E0"/>
    <w:rsid w:val="00AB4778"/>
    <w:rsid w:val="00B2084C"/>
    <w:rsid w:val="00B2250C"/>
    <w:rsid w:val="00B72637"/>
    <w:rsid w:val="00BB28CC"/>
    <w:rsid w:val="00BE4F58"/>
    <w:rsid w:val="00C2644E"/>
    <w:rsid w:val="00C83234"/>
    <w:rsid w:val="00CA3931"/>
    <w:rsid w:val="00D05D24"/>
    <w:rsid w:val="00D06D77"/>
    <w:rsid w:val="00D46FE4"/>
    <w:rsid w:val="00D76F53"/>
    <w:rsid w:val="00DD34EF"/>
    <w:rsid w:val="00E21B3D"/>
    <w:rsid w:val="00E70F44"/>
    <w:rsid w:val="00E7764D"/>
    <w:rsid w:val="00F41968"/>
    <w:rsid w:val="00F5488A"/>
    <w:rsid w:val="00F9350F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E28FA"/>
  <w15:docId w15:val="{618D0864-6CAC-48E1-B256-5A241C3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F53"/>
    <w:pPr>
      <w:spacing w:after="0" w:line="240" w:lineRule="auto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B3D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2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2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3A8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92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3A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Lenovo-RM</dc:creator>
  <cp:lastModifiedBy>RM</cp:lastModifiedBy>
  <cp:revision>2</cp:revision>
  <cp:lastPrinted>2019-05-28T07:40:00Z</cp:lastPrinted>
  <dcterms:created xsi:type="dcterms:W3CDTF">2025-04-25T10:47:00Z</dcterms:created>
  <dcterms:modified xsi:type="dcterms:W3CDTF">2025-04-25T10:47:00Z</dcterms:modified>
</cp:coreProperties>
</file>